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200"/>
        <w:jc w:val="center"/>
      </w:pPr>
      <w:r>
        <w:rPr>
          <w:rFonts w:ascii="Times New Roman" w:cs="Times New Roman" w:eastAsia="Times New Roman" w:hAnsi="Times New Roman"/>
          <w:b/>
          <w:bCs/>
          <w:color w:val="1F4E79"/>
          <w:sz w:val="28"/>
          <w:szCs w:val="28"/>
        </w:rPr>
        <w:t xml:space="preserve">PHỤ LỤC 1A</w:t>
      </w:r>
    </w:p>
    <w:p>
      <w:pPr>
        <w:spacing w:after="60" w:before="60"/>
        <w:jc w:val="center"/>
      </w:pPr>
      <w:r>
        <w:rPr>
          <w:rFonts w:ascii="Times New Roman" w:cs="Times New Roman" w:eastAsia="Times New Roman" w:hAnsi="Times New Roman"/>
          <w:b/>
          <w:bCs/>
          <w:color w:val="1F4E79"/>
          <w:sz w:val="32"/>
          <w:szCs w:val="32"/>
        </w:rPr>
        <w:t xml:space="preserve">GIỚI THIỆU CHƯƠNG VÀ KHỐI</w:t>
      </w:r>
    </w:p>
    <w:p>
      <w:pPr>
        <w:spacing w:after="60" w:before="60"/>
        <w:jc w:val="center"/>
      </w:pPr>
      <w:r>
        <w:rPr>
          <w:rFonts w:ascii="Times New Roman" w:cs="Times New Roman" w:eastAsia="Times New Roman" w:hAnsi="Times New Roman"/>
          <w:b/>
          <w:bCs/>
          <w:color w:val="1F4E79"/>
          <w:sz w:val="26"/>
          <w:szCs w:val="26"/>
        </w:rPr>
        <w:t xml:space="preserve">CỦA BẢNG MÃ BỆNH TẬT, NGUYÊN NHÂN TỬ VONG THEO ICD-10</w:t>
      </w:r>
    </w:p>
    <w:p>
      <w:pPr>
        <w:spacing w:after="300" w:before="60"/>
        <w:jc w:val="center"/>
      </w:pPr>
      <w:r>
        <w:rPr>
          <w:rFonts w:ascii="Times New Roman" w:cs="Times New Roman" w:eastAsia="Times New Roman" w:hAnsi="Times New Roman"/>
          <w:i/>
          <w:iCs/>
          <w:sz w:val="24"/>
          <w:szCs w:val="24"/>
        </w:rPr>
        <w:t xml:space="preserve">(Ban hành kèm theo Thông tư số 06/2026/TT-BYT ngày 02 tháng 4 năm 2026 của Bộ trưởng Bộ Y tế)</w:t>
      </w:r>
    </w:p>
    <w:p>
      <w:pPr>
        <w:spacing w:after="60" w:before="100"/>
        <w:jc w:val="both"/>
      </w:pPr>
      <w:r>
        <w:rPr>
          <w:rFonts w:ascii="Times New Roman" w:cs="Times New Roman" w:eastAsia="Times New Roman" w:hAnsi="Times New Roman"/>
          <w:b/>
          <w:bCs/>
          <w:sz w:val="24"/>
          <w:szCs w:val="24"/>
        </w:rPr>
        <w:t xml:space="preserve">Cách đọc tài liệu này</w:t>
      </w:r>
    </w:p>
    <w:p>
      <w:pPr>
        <w:spacing w:after="40" w:before="40"/>
        <w:jc w:val="both"/>
      </w:pPr>
      <w:r>
        <w:rPr>
          <w:rFonts w:ascii="Times New Roman" w:cs="Times New Roman" w:eastAsia="Times New Roman" w:hAnsi="Times New Roman"/>
          <w:sz w:val="24"/>
          <w:szCs w:val="24"/>
        </w:rPr>
        <w:t xml:space="preserve">Tài liệu này giới thiệu cấu trúc 22 Chương và các Khối mã bệnh trong Bảng ICD-10 ban hành kèm theo Thông tư số 06/2026/TT-BYT. Với mỗi Chương, tài liệu trình bày:</w:t>
      </w:r>
    </w:p>
    <w:p>
      <w:pPr>
        <w:pStyle w:val="ListParagraph"/>
        <w:numPr>
          <w:ilvl w:val="0"/>
          <w:numId w:val="2"/>
        </w:numPr>
        <w:spacing w:after="40" w:before="40"/>
      </w:pPr>
      <w:r>
        <w:rPr>
          <w:rFonts w:ascii="Times New Roman" w:cs="Times New Roman" w:eastAsia="Times New Roman" w:hAnsi="Times New Roman"/>
          <w:b/>
          <w:bCs/>
          <w:sz w:val="24"/>
          <w:szCs w:val="24"/>
        </w:rPr>
        <w:t xml:space="preserve">Phạm vi</w:t>
      </w:r>
      <w:r>
        <w:rPr>
          <w:rFonts w:ascii="Times New Roman" w:cs="Times New Roman" w:eastAsia="Times New Roman" w:hAnsi="Times New Roman"/>
          <w:sz w:val="24"/>
          <w:szCs w:val="24"/>
        </w:rPr>
        <w:t xml:space="preserve">: dải mã 3 ký tự bao gồm trong Chương.</w:t>
      </w:r>
    </w:p>
    <w:p>
      <w:pPr>
        <w:pStyle w:val="ListParagraph"/>
        <w:numPr>
          <w:ilvl w:val="0"/>
          <w:numId w:val="2"/>
        </w:numPr>
        <w:spacing w:after="40" w:before="40"/>
      </w:pPr>
      <w:r>
        <w:rPr>
          <w:rFonts w:ascii="Times New Roman" w:cs="Times New Roman" w:eastAsia="Times New Roman" w:hAnsi="Times New Roman"/>
          <w:b/>
          <w:bCs/>
          <w:sz w:val="24"/>
          <w:szCs w:val="24"/>
        </w:rPr>
        <w:t xml:space="preserve">Khối</w:t>
      </w:r>
      <w:r>
        <w:rPr>
          <w:rFonts w:ascii="Times New Roman" w:cs="Times New Roman" w:eastAsia="Times New Roman" w:hAnsi="Times New Roman"/>
          <w:sz w:val="24"/>
          <w:szCs w:val="24"/>
        </w:rPr>
        <w:t xml:space="preserve">: nhóm mã liên quan được gộp theo loại bệnh hoặc hệ cơ quan.</w:t>
      </w:r>
    </w:p>
    <w:p>
      <w:pPr>
        <w:pStyle w:val="ListParagraph"/>
        <w:numPr>
          <w:ilvl w:val="0"/>
          <w:numId w:val="2"/>
        </w:numPr>
        <w:spacing w:after="40" w:before="40"/>
      </w:pPr>
      <w:r>
        <w:rPr>
          <w:rFonts w:ascii="Times New Roman" w:cs="Times New Roman" w:eastAsia="Times New Roman" w:hAnsi="Times New Roman"/>
          <w:b/>
          <w:bCs/>
          <w:sz w:val="24"/>
          <w:szCs w:val="24"/>
        </w:rPr>
        <w:t xml:space="preserve">Lưu ý mã hóa</w:t>
      </w:r>
      <w:r>
        <w:rPr>
          <w:rFonts w:ascii="Times New Roman" w:cs="Times New Roman" w:eastAsia="Times New Roman" w:hAnsi="Times New Roman"/>
          <w:sz w:val="24"/>
          <w:szCs w:val="24"/>
        </w:rPr>
        <w:t xml:space="preserve">: hướng dẫn đặc biệt cần biết khi sử dụng Chương.</w:t>
      </w:r>
    </w:p>
    <w:p>
      <w:pPr>
        <w:pBdr>
          <w:left w:val="single" w:color="2E75B6" w:sz="8" w:space="8"/>
        </w:pBdr>
        <w:spacing w:after="80" w:before="80"/>
        <w:ind w:left="360"/>
      </w:pPr>
      <w:r>
        <w:rPr>
          <w:rFonts w:ascii="Times New Roman" w:cs="Times New Roman" w:eastAsia="Times New Roman" w:hAnsi="Times New Roman"/>
          <w:i w:val="false"/>
          <w:iCs w:val="false"/>
          <w:color w:val="1F497D"/>
          <w:sz w:val="24"/>
          <w:szCs w:val="24"/>
        </w:rPr>
        <w:t xml:space="preserve">Quy ước: mã ký tự thứ 4 được phân tách bằng dấu chấm (.). Ví dụ: I21.0, không phải I210. Tham khảo Phụ lục 1B của Thông tư để tra cứu mã chi tiết (4–5 ký tự).</w:t>
      </w:r>
    </w:p>
    <w:p>
      <w:pPr>
        <w:spacing w:after="120" w:before="0"/>
      </w:pPr>
      <w:r>
        <w:rPr>
          <w:rFonts w:ascii="Times New Roman" w:cs="Times New Roman" w:eastAsia="Times New Roman" w:hAnsi="Times New Roman"/>
          <w:sz w:val="24"/>
          <w:szCs w:val="24"/>
        </w:rPr>
        <w:t xml:space="preserve"/>
      </w:r>
    </w:p>
    <w:p>
      <w:pPr>
        <w:pStyle w:val="Heading1"/>
        <w:spacing w:after="100" w:before="200"/>
      </w:pPr>
      <w:r>
        <w:rPr>
          <w:rFonts w:ascii="Times New Roman" w:cs="Times New Roman" w:eastAsia="Times New Roman" w:hAnsi="Times New Roman"/>
          <w:b/>
          <w:bCs/>
          <w:color w:val="1F4E79"/>
          <w:sz w:val="28"/>
          <w:szCs w:val="28"/>
        </w:rPr>
        <w:t xml:space="preserve">Tổng quan 22 Chương ICD-10</w:t>
      </w:r>
    </w:p>
    <w:p>
      <w:pPr>
        <w:spacing w:after="120" w:before="60"/>
        <w:jc w:val="both"/>
      </w:pPr>
      <w:r>
        <w:rPr>
          <w:rFonts w:ascii="Times New Roman" w:cs="Times New Roman" w:eastAsia="Times New Roman" w:hAnsi="Times New Roman"/>
          <w:sz w:val="24"/>
          <w:szCs w:val="24"/>
        </w:rPr>
        <w:t xml:space="preserve">Bảng dưới đây liệt kê 22 Chương và dải mã tương ứng. Ghi nhớ 4 Chương dùng nhiều hơn một chữ cái đầu: Chương I (A, B), Chương II (C, D), Chương XIX (S, T), Chương XX (V, W, X, Y).</w:t>
      </w:r>
    </w:p>
    <w:tbl>
      <w:tblPr>
        <w:tblW w:type="dxa" w:w="9071"/>
        <w:tblBorders>
          <w:top w:val="single" w:color="auto" w:sz="4"/>
          <w:left w:val="single" w:color="auto" w:sz="4"/>
          <w:bottom w:val="single" w:color="auto" w:sz="4"/>
          <w:right w:val="single" w:color="auto" w:sz="4"/>
          <w:insideH w:val="single" w:color="auto" w:sz="4"/>
          <w:insideV w:val="single" w:color="auto" w:sz="4"/>
        </w:tblBorders>
        <w:tblCellMar>
          <w:top w:type="dxa" w:w="80"/>
          <w:left w:type="dxa" w:w="0"/>
          <w:bottom w:type="dxa" w:w="80"/>
          <w:right w:type="dxa" w:w="0"/>
        </w:tblCellMar>
      </w:tblPr>
      <w:tblGrid>
        <w:gridCol w:w="900"/>
        <w:gridCol w:w="1800"/>
        <w:gridCol w:w="6371"/>
      </w:tblGrid>
      <w:tr>
        <w:trPr>
          <w:tblHeader/>
        </w:trPr>
        <w:tc>
          <w:tcPr>
            <w:tcW w:type="dxa" w:w="9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Chương</w:t>
            </w:r>
          </w:p>
        </w:tc>
        <w:tc>
          <w:tcPr>
            <w:tcW w:type="dxa" w:w="18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Dải mã</w:t>
            </w:r>
          </w:p>
        </w:tc>
        <w:tc>
          <w:tcPr>
            <w:tcW w:type="dxa" w:w="6371"/>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Tên Chương</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A00–B99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truyền nhiễm và ký sinh trùng</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Ch.II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C00–D48</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U tân sinh</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Ch.III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D50–D89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máu, cơ quan tạo máu và một số rối loạn liên quan đến cơ chế miễn dịch</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Ch.IV</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E00–E99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nội tiết, dinh dưỡng và chuyển hoá</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Ch.V</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F00–F99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Rối loạn tâm thần và hành vi</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Ch.VI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G00–G99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thần kinh</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Ch.VII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H00–H59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của mắt và cấu trúc phụ cận</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Ch.VIII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H60–H95</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của tai và xương chũm</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Ch.IX</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I00–I99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tuần hoàn</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J00–J99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hô hấp</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K00–K93</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tiêu hoá</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Ch.XII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L00–L99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của da và mô dưới da</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Ch.XIII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M00–M99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cơ xương khớp và mô liên kết</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Ch.XIV</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N00–N99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sinh dục, tiết niệu</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Ch.XV</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O00–O99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Thai kỳ, sinh đẻ và thời kỳ sau đẻ</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Ch.XVI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P00–P96</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Một số bệnh lý xuất phát trong thời kỳ chu sinh</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Ch.XVII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Q00–Q99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Dị tật, biến dạng và bất thường về nhiễm sắc thể bẩm sinh</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Ch.XVIII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R00–R99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Triệu chứng, dấu hiệu và những bất thường lâm sàng, cận lâm sàng, không phân loại mục khác</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Ch.XIX</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S00–T98</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Tổn thương, ngộ độc và một số hậu quả khác do nguyên nhân bên ngoài</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Ch.XX</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V01–Y98</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Các nguyên nhân từ bên ngoài của bệnh tật và tử vong</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Ch.XXI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Z00–Z99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Các yếu tố liên quan đến tình trạng sức khỏe và tiếp cận dịch vụ y tế</w:t>
            </w:r>
          </w:p>
        </w:tc>
      </w:tr>
      <w:tr>
        <w:tc>
          <w:tcPr>
            <w:tcW w:type="dxa" w:w="9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Ch.XXII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U00–U99</w:t>
            </w:r>
          </w:p>
        </w:tc>
        <w:tc>
          <w:tcPr>
            <w:tcW w:type="dxa" w:w="63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Mã phục vụ những mục đích đặc biệt</w:t>
            </w:r>
          </w:p>
        </w:tc>
      </w:tr>
    </w:tbl>
    <w:p>
      <w:pPr>
        <w:spacing w:after="180" w:before="0"/>
      </w:pPr>
      <w:r>
        <w:rPr>
          <w:rFonts w:ascii="Times New Roman" w:cs="Times New Roman" w:eastAsia="Times New Roman" w:hAnsi="Times New Roman"/>
          <w:sz w:val="24"/>
          <w:szCs w:val="24"/>
        </w:rPr>
        <w:t xml:space="preserve"/>
      </w:r>
    </w:p>
    <w:p>
      <w:pPr>
        <w:pStyle w:val="Heading1"/>
        <w:spacing w:after="80" w:before="240"/>
      </w:pPr>
      <w:r>
        <w:rPr>
          <w:rFonts w:ascii="Times New Roman" w:cs="Times New Roman" w:eastAsia="Times New Roman" w:hAnsi="Times New Roman"/>
          <w:b/>
          <w:bCs/>
          <w:color w:val="1F4E79"/>
          <w:sz w:val="28"/>
          <w:szCs w:val="28"/>
        </w:rPr>
        <w:t xml:space="preserve">Chương I - Bệnh truyền nhiễm và ký sinh trùng (A00–B99)</w:t>
      </w:r>
    </w:p>
    <w:p>
      <w:pPr>
        <w:spacing w:after="60" w:before="60"/>
        <w:jc w:val="both"/>
      </w:pPr>
      <w:r>
        <w:rPr>
          <w:rFonts w:ascii="Times New Roman" w:cs="Times New Roman" w:eastAsia="Times New Roman" w:hAnsi="Times New Roman"/>
          <w:b/>
          <w:bCs/>
          <w:sz w:val="24"/>
          <w:szCs w:val="24"/>
        </w:rPr>
        <w:t xml:space="preserve">Phạm vi:</w:t>
      </w:r>
      <w:r>
        <w:rPr>
          <w:rFonts w:ascii="Times New Roman" w:cs="Times New Roman" w:eastAsia="Times New Roman" w:hAnsi="Times New Roman"/>
          <w:sz w:val="24"/>
          <w:szCs w:val="24"/>
        </w:rPr>
        <w:t xml:space="preserve"> Các bệnh thường được công nhận là lây nhiễm hoặc truyền nhiễm.</w:t>
      </w:r>
    </w:p>
    <w:p>
      <w:pPr>
        <w:spacing w:after="40" w:before="80"/>
        <w:jc w:val="both"/>
      </w:pPr>
      <w:r>
        <w:rPr>
          <w:rFonts w:ascii="Times New Roman" w:cs="Times New Roman" w:eastAsia="Times New Roman" w:hAnsi="Times New Roman"/>
          <w:b/>
          <w:bCs/>
          <w:sz w:val="24"/>
          <w:szCs w:val="24"/>
        </w:rPr>
        <w:t xml:space="preserve">Lưu ý chung:</w:t>
      </w:r>
    </w:p>
    <w:p>
      <w:pPr>
        <w:pStyle w:val="ListParagraph"/>
        <w:numPr>
          <w:ilvl w:val="0"/>
          <w:numId w:val="2"/>
        </w:numPr>
        <w:spacing w:after="40" w:before="40"/>
      </w:pPr>
      <w:r>
        <w:rPr>
          <w:rFonts w:ascii="Times New Roman" w:cs="Times New Roman" w:eastAsia="Times New Roman" w:hAnsi="Times New Roman"/>
          <w:sz w:val="24"/>
          <w:szCs w:val="24"/>
        </w:rPr>
        <w:t xml:space="preserve">Một số nhiễm khuẩn khu trú (ví dụ: viêm phổi do vi khuẩn) được mã hóa theo chương cơ quan tương ứng, không phải ở Chương I.</w:t>
      </w:r>
    </w:p>
    <w:p>
      <w:pPr>
        <w:pStyle w:val="ListParagraph"/>
        <w:numPr>
          <w:ilvl w:val="0"/>
          <w:numId w:val="2"/>
        </w:numPr>
        <w:spacing w:after="40" w:before="40"/>
      </w:pPr>
      <w:r>
        <w:rPr>
          <w:rFonts w:ascii="Times New Roman" w:cs="Times New Roman" w:eastAsia="Times New Roman" w:hAnsi="Times New Roman"/>
          <w:sz w:val="24"/>
          <w:szCs w:val="24"/>
        </w:rPr>
        <w:t xml:space="preserve">Nhiễm trùng biến chứng trong thai kỳ → mã hóa ở Chương XV (O98.-).</w:t>
      </w:r>
    </w:p>
    <w:p>
      <w:pPr>
        <w:pStyle w:val="ListParagraph"/>
        <w:numPr>
          <w:ilvl w:val="0"/>
          <w:numId w:val="2"/>
        </w:numPr>
        <w:spacing w:after="40" w:before="40"/>
      </w:pPr>
      <w:r>
        <w:rPr>
          <w:rFonts w:ascii="Times New Roman" w:cs="Times New Roman" w:eastAsia="Times New Roman" w:hAnsi="Times New Roman"/>
          <w:sz w:val="24"/>
          <w:szCs w:val="24"/>
        </w:rPr>
        <w:t xml:space="preserve">Nhiễm trùng chu sinh cụ thể → Chương XVI (P35–P39).</w:t>
      </w:r>
    </w:p>
    <w:p>
      <w:pPr>
        <w:pStyle w:val="ListParagraph"/>
        <w:numPr>
          <w:ilvl w:val="0"/>
          <w:numId w:val="2"/>
        </w:numPr>
        <w:spacing w:after="40" w:before="40"/>
      </w:pPr>
      <w:r>
        <w:rPr>
          <w:rFonts w:ascii="Times New Roman" w:cs="Times New Roman" w:eastAsia="Times New Roman" w:hAnsi="Times New Roman"/>
          <w:sz w:val="24"/>
          <w:szCs w:val="24"/>
        </w:rPr>
        <w:t xml:space="preserve">Cúm và nhiễm trùng hô hấp cấp → Chương X (J00–J22).</w:t>
      </w:r>
    </w:p>
    <w:p>
      <w:pPr>
        <w:pStyle w:val="ListParagraph"/>
        <w:numPr>
          <w:ilvl w:val="0"/>
          <w:numId w:val="2"/>
        </w:numPr>
        <w:spacing w:after="40" w:before="40"/>
      </w:pPr>
      <w:r>
        <w:rPr>
          <w:rFonts w:ascii="Times New Roman" w:cs="Times New Roman" w:eastAsia="Times New Roman" w:hAnsi="Times New Roman"/>
          <w:sz w:val="24"/>
          <w:szCs w:val="24"/>
        </w:rPr>
        <w:t xml:space="preserve">Có thể thêm mã bổ sung U82–U84 để xác định kháng thuốc kháng vi sinh vật.</w:t>
      </w:r>
    </w:p>
    <w:p>
      <w:pPr>
        <w:spacing w:after="80" w:before="0"/>
      </w:pPr>
      <w:r>
        <w:rPr>
          <w:rFonts w:ascii="Times New Roman" w:cs="Times New Roman" w:eastAsia="Times New Roman" w:hAnsi="Times New Roman"/>
          <w:sz w:val="24"/>
          <w:szCs w:val="24"/>
        </w:rPr>
        <w:t xml:space="preserve"/>
      </w:r>
    </w:p>
    <w:p>
      <w:pPr>
        <w:spacing w:after="80" w:before="80"/>
        <w:jc w:val="both"/>
      </w:pPr>
      <w:r>
        <w:rPr>
          <w:rFonts w:ascii="Times New Roman" w:cs="Times New Roman" w:eastAsia="Times New Roman" w:hAnsi="Times New Roman"/>
          <w:b/>
          <w:bCs/>
          <w:sz w:val="24"/>
          <w:szCs w:val="24"/>
        </w:rPr>
        <w:t xml:space="preserve">21 Khối của Chương I:</w:t>
      </w:r>
    </w:p>
    <w:tbl>
      <w:tblPr>
        <w:tblW w:type="dxa" w:w="9071"/>
        <w:tblBorders>
          <w:top w:val="single" w:color="auto" w:sz="4"/>
          <w:left w:val="single" w:color="auto" w:sz="4"/>
          <w:bottom w:val="single" w:color="auto" w:sz="4"/>
          <w:right w:val="single" w:color="auto" w:sz="4"/>
          <w:insideH w:val="single" w:color="auto" w:sz="4"/>
          <w:insideV w:val="single" w:color="auto" w:sz="4"/>
        </w:tblBorders>
        <w:tblCellMar>
          <w:top w:type="dxa" w:w="80"/>
          <w:left w:type="dxa" w:w="0"/>
          <w:bottom w:type="dxa" w:w="80"/>
          <w:right w:type="dxa" w:w="0"/>
        </w:tblCellMar>
      </w:tblPr>
      <w:tblGrid>
        <w:gridCol w:w="1400"/>
        <w:gridCol w:w="3000"/>
        <w:gridCol w:w="4671"/>
      </w:tblGrid>
      <w:tr>
        <w:trPr>
          <w:tblHeader/>
        </w:trPr>
        <w:tc>
          <w:tcPr>
            <w:tcW w:type="dxa" w:w="14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Khối</w:t>
            </w:r>
          </w:p>
        </w:tc>
        <w:tc>
          <w:tcPr>
            <w:tcW w:type="dxa" w:w="30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Tên khối</w:t>
            </w:r>
          </w:p>
        </w:tc>
        <w:tc>
          <w:tcPr>
            <w:tcW w:type="dxa" w:w="4671"/>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Lưu ý quan trọng</w:t>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A00–A09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truyền nhiễm đường ruột</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A15–A19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lao</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Bao gồm: nhiễm trùng do Mycobacterium tuberculosis và M. bovis. Loại trừ: lao bẩm sinh (P37.0), lao phổi do bụi (J65), di chứng lao (B90.-).</w:t>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A20–A28</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nhiễm khuẩn do động vật truyền sang người</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A30–A49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nhiễm khuẩn khác</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A50–A64</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nhiễm trùng lây truyền chủ yếu qua đường tình dục</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Loại trừ: HIV (B20–B24).</w:t>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A65–A69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do xoắn khuẩn khác</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Loại trừ: leptospira (A27.-), giang mai (A50–A53).</w:t>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A70–A74</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khác do Chlamydia</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A75–A79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do Rickettsia</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A80–A89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Nhiễm virus ở hệ thần kinh trung ương</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Loại trừ: di chứng bại liệt (B91), di chứng viêm não do virus (B94.1).</w:t>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A92–A99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sốt virus và sốt xuất huyết do tiết túc truyền</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B00–B09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Nhiễm virus có đặc điểm tổn thương tại da và niêm mạc</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B15–B19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Viêm gan do virus</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Loại trừ: viêm gan do CMV (B25.1), viêm gan do herpes simplex (B00.8), di chứng viêm gan virus (B94.2).</w:t>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B20–B24</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do nhiễm virus HIV</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Loại trừ: nhiễm HIV không triệu chứng (Z21), biến chứng thai kỳ (O98.7).</w:t>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B25–B34</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nhiễm virus khác</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B35–B49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nhiễm nấm</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Loại trừ: viêm phổi quá mẫn do bụi hữu cơ (J67.-).</w:t>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B50–B64</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do nhiễm ký sinh trùng đơn bào</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Loại trừ: lỵ a-míp (A06.-), bệnh đường ruột do đơn bào (A07.-).</w:t>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B65–B83</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giun sán</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B85–B89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chấy rận, bệnh ghẻ và nhiễm ký sinh trùng khác</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B90–B94</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Di chứng của bệnh truyền nhiễm và ký sinh trùng</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Dùng để chỉ bệnh lý A00–B89 là nguồn gốc gây di chứng, khi bản thân bệnh đã khỏi. KHÔNG dùng để mã bệnh nhiễm trùng mạn tính đang hoạt động.</w:t>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B95–B98</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Vi khuẩn, virus và tác nhân gây nhiễm trùng khác</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Chỉ dùng làm mã bệnh kèm theo để xác định tác nhân gây nhiễm trùng, KHÔNG dùng làm mã bệnh chính.</w:t>
            </w:r>
          </w:p>
        </w:tc>
      </w:tr>
      <w:tr>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B99–B99</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nhiễm trùng khác</w:t>
            </w:r>
          </w:p>
        </w:tc>
        <w:tc>
          <w:tcPr>
            <w:tcW w:type="dxa" w:w="46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
            </w:r>
          </w:p>
        </w:tc>
      </w:tr>
    </w:tbl>
    <w:p>
      <w:pPr>
        <w:spacing w:after="180" w:before="0"/>
      </w:pPr>
      <w:r>
        <w:rPr>
          <w:rFonts w:ascii="Times New Roman" w:cs="Times New Roman" w:eastAsia="Times New Roman" w:hAnsi="Times New Roman"/>
          <w:sz w:val="24"/>
          <w:szCs w:val="24"/>
        </w:rPr>
        <w:t xml:space="preserve"/>
      </w:r>
    </w:p>
    <w:p>
      <w:pPr>
        <w:pStyle w:val="Heading1"/>
        <w:spacing w:after="80" w:before="240"/>
      </w:pPr>
      <w:r>
        <w:rPr>
          <w:rFonts w:ascii="Times New Roman" w:cs="Times New Roman" w:eastAsia="Times New Roman" w:hAnsi="Times New Roman"/>
          <w:b/>
          <w:bCs/>
          <w:color w:val="1F4E79"/>
          <w:sz w:val="28"/>
          <w:szCs w:val="28"/>
        </w:rPr>
        <w:t xml:space="preserve">Chương II - U tân sinh (C00–D48)</w:t>
      </w:r>
    </w:p>
    <w:p>
      <w:pPr>
        <w:spacing w:after="60" w:before="60"/>
        <w:jc w:val="both"/>
      </w:pPr>
      <w:r>
        <w:rPr>
          <w:rFonts w:ascii="Times New Roman" w:cs="Times New Roman" w:eastAsia="Times New Roman" w:hAnsi="Times New Roman"/>
          <w:b/>
          <w:bCs/>
          <w:sz w:val="24"/>
          <w:szCs w:val="24"/>
        </w:rPr>
        <w:t xml:space="preserve">Phạm vi:</w:t>
      </w:r>
      <w:r>
        <w:rPr>
          <w:rFonts w:ascii="Times New Roman" w:cs="Times New Roman" w:eastAsia="Times New Roman" w:hAnsi="Times New Roman"/>
          <w:sz w:val="24"/>
          <w:szCs w:val="24"/>
        </w:rPr>
        <w:t xml:space="preserve"> Tất cả u tân sinh, bất kể có hoạt động chức năng hay không. Chương có 4 khối chính phân theo hành vi u.</w:t>
      </w:r>
    </w:p>
    <w:p>
      <w:pPr>
        <w:spacing w:after="40" w:before="80"/>
        <w:jc w:val="both"/>
      </w:pPr>
      <w:r>
        <w:rPr>
          <w:rFonts w:ascii="Times New Roman" w:cs="Times New Roman" w:eastAsia="Times New Roman" w:hAnsi="Times New Roman"/>
          <w:b/>
          <w:bCs/>
          <w:sz w:val="24"/>
          <w:szCs w:val="24"/>
        </w:rPr>
        <w:t xml:space="preserve">Lưu ý chung:</w:t>
      </w:r>
    </w:p>
    <w:p>
      <w:pPr>
        <w:pStyle w:val="ListParagraph"/>
        <w:numPr>
          <w:ilvl w:val="0"/>
          <w:numId w:val="2"/>
        </w:numPr>
        <w:spacing w:after="40" w:before="40"/>
      </w:pPr>
      <w:r>
        <w:rPr>
          <w:rFonts w:ascii="Times New Roman" w:cs="Times New Roman" w:eastAsia="Times New Roman" w:hAnsi="Times New Roman"/>
          <w:sz w:val="24"/>
          <w:szCs w:val="24"/>
        </w:rPr>
        <w:t xml:space="preserve">Hoạt động chức năng: nếu u tân sinh tiết hormone, dùng thêm mã bổ sung từ Chương IV. Ví dụ: u tủy thượng thận ác tính → C74 + E27.5.</w:t>
      </w:r>
    </w:p>
    <w:p>
      <w:pPr>
        <w:pStyle w:val="ListParagraph"/>
        <w:numPr>
          <w:ilvl w:val="0"/>
          <w:numId w:val="2"/>
        </w:numPr>
        <w:spacing w:after="40" w:before="40"/>
      </w:pPr>
      <w:r>
        <w:rPr>
          <w:rFonts w:ascii="Times New Roman" w:cs="Times New Roman" w:eastAsia="Times New Roman" w:hAnsi="Times New Roman"/>
          <w:sz w:val="24"/>
          <w:szCs w:val="24"/>
        </w:rPr>
        <w:t xml:space="preserve">Vị trí nguyên phát không rõ (C76–C80): dùng khi ung thư "di căn" hoặc "lan tỏa" nhưng không rõ xuất phát từ đâu.</w:t>
      </w:r>
    </w:p>
    <w:p>
      <w:pPr>
        <w:pStyle w:val="ListParagraph"/>
        <w:numPr>
          <w:ilvl w:val="0"/>
          <w:numId w:val="2"/>
        </w:numPr>
        <w:spacing w:after="40" w:before="40"/>
      </w:pPr>
      <w:r>
        <w:rPr>
          <w:rFonts w:ascii="Times New Roman" w:cs="Times New Roman" w:eastAsia="Times New Roman" w:hAnsi="Times New Roman"/>
          <w:sz w:val="24"/>
          <w:szCs w:val="24"/>
        </w:rPr>
        <w:t xml:space="preserve">Hình thái học chi tiết: tham khảo ICD-O-3 (2019) để xác định mã morphology, không thể hiện đầy đủ trong ICD-10 chung.</w:t>
      </w:r>
    </w:p>
    <w:p>
      <w:pPr>
        <w:spacing w:after="80" w:before="0"/>
      </w:pPr>
      <w:r>
        <w:rPr>
          <w:rFonts w:ascii="Times New Roman" w:cs="Times New Roman" w:eastAsia="Times New Roman" w:hAnsi="Times New Roman"/>
          <w:sz w:val="24"/>
          <w:szCs w:val="24"/>
        </w:rPr>
        <w:t xml:space="preserve"/>
      </w:r>
    </w:p>
    <w:p>
      <w:pPr>
        <w:spacing w:after="80" w:before="80"/>
        <w:jc w:val="both"/>
      </w:pPr>
      <w:r>
        <w:rPr>
          <w:rFonts w:ascii="Times New Roman" w:cs="Times New Roman" w:eastAsia="Times New Roman" w:hAnsi="Times New Roman"/>
          <w:b/>
          <w:bCs/>
          <w:sz w:val="24"/>
          <w:szCs w:val="24"/>
        </w:rPr>
        <w:t xml:space="preserve">Cấu trúc Chương II:</w:t>
      </w:r>
    </w:p>
    <w:tbl>
      <w:tblPr>
        <w:tblW w:type="dxa" w:w="9071"/>
        <w:tblBorders>
          <w:top w:val="single" w:color="auto" w:sz="4"/>
          <w:left w:val="single" w:color="auto" w:sz="4"/>
          <w:bottom w:val="single" w:color="auto" w:sz="4"/>
          <w:right w:val="single" w:color="auto" w:sz="4"/>
          <w:insideH w:val="single" w:color="auto" w:sz="4"/>
          <w:insideV w:val="single" w:color="auto" w:sz="4"/>
        </w:tblBorders>
        <w:tblCellMar>
          <w:top w:type="dxa" w:w="80"/>
          <w:left w:type="dxa" w:w="0"/>
          <w:bottom w:type="dxa" w:w="80"/>
          <w:right w:type="dxa" w:w="0"/>
        </w:tblCellMar>
      </w:tblPr>
      <w:tblGrid>
        <w:gridCol w:w="1700"/>
        <w:gridCol w:w="1800"/>
        <w:gridCol w:w="5571"/>
      </w:tblGrid>
      <w:tr>
        <w:trPr>
          <w:tblHeader/>
        </w:trPr>
        <w:tc>
          <w:tcPr>
            <w:tcW w:type="dxa" w:w="17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Phân cấp</w:t>
            </w:r>
          </w:p>
        </w:tc>
        <w:tc>
          <w:tcPr>
            <w:tcW w:type="dxa" w:w="18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Dải mã</w:t>
            </w:r>
          </w:p>
        </w:tc>
        <w:tc>
          <w:tcPr>
            <w:tcW w:type="dxa" w:w="5571"/>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Mô tả</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0"/>
            </w:pPr>
            <w:r>
              <w:rPr>
                <w:rFonts w:ascii="Times New Roman" w:cs="Times New Roman" w:eastAsia="Times New Roman" w:hAnsi="Times New Roman"/>
                <w:sz w:val="24"/>
                <w:szCs w:val="24"/>
              </w:rPr>
              <w:t xml:space="preserve">Khối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C00–C97</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b/>
                <w:bCs/>
                <w:sz w:val="24"/>
                <w:szCs w:val="24"/>
              </w:rPr>
              <w:t xml:space="preserve">U ÁC TÍNH</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280"/>
            </w:pPr>
            <w:r>
              <w:rPr>
                <w:rFonts w:ascii="Times New Roman" w:cs="Times New Roman" w:eastAsia="Times New Roman" w:hAnsi="Times New Roman"/>
                <w:sz w:val="24"/>
                <w:szCs w:val="24"/>
              </w:rPr>
              <w:t xml:space="preserve">  Tiểu khối cấp 1</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C00–C75</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sz w:val="24"/>
                <w:szCs w:val="24"/>
              </w:rPr>
              <w:t xml:space="preserve">U ác tính nguyên phát - vị trí xác định (ngoài hệ lympho/tạo máu)</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C00–C14</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ác tính ở môi, khoang miệng và họng</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C15–C26</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ác tính ở cơ quan tiêu hóa</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C30–C39</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ác tính ở cơ quan hô hấp và trong lồng ngực</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C40–C41</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ác tính ở xương và sụn khớp</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C43–C44</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hắc tố và u ác tính khác ở da</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C45–C49</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ác tính ở trung biểu mô và mô mềm</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C50</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ác tính ở vú</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C51–C58</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ác tính ở cơ quan sinh dục nữ</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C60–C63</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ác tính ở cơ quan sinh dục nam</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C64–C68</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ác tính ở đường niệu</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C69–C72</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ác tính ở mắt, não và hệ thần kinh trung ương</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560"/>
            </w:pPr>
            <w:r>
              <w:rPr>
                <w:rFonts w:ascii="Times New Roman" w:cs="Times New Roman" w:eastAsia="Times New Roman" w:hAnsi="Times New Roman"/>
                <w:sz w:val="24"/>
                <w:szCs w:val="24"/>
              </w:rPr>
              <w:t xml:space="preserve">    Tiểu khối cấp 2</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C73–C75</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i/>
                <w:iCs/>
                <w:sz w:val="24"/>
                <w:szCs w:val="24"/>
              </w:rPr>
              <w:t xml:space="preserve">U ác tính ở tuyến giáp và tuyến nội tiết khác</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280"/>
            </w:pPr>
            <w:r>
              <w:rPr>
                <w:rFonts w:ascii="Times New Roman" w:cs="Times New Roman" w:eastAsia="Times New Roman" w:hAnsi="Times New Roman"/>
                <w:sz w:val="24"/>
                <w:szCs w:val="24"/>
              </w:rPr>
              <w:t xml:space="preserve">  Tiểu khối cấp 1</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C76–C80</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sz w:val="24"/>
                <w:szCs w:val="24"/>
              </w:rPr>
              <w:t xml:space="preserve">U ác tính vị trí không rõ ràng, thứ phát và không xác định</w:t>
            </w:r>
            <w:r>
              <w:rPr>
                <w:rFonts w:ascii="Times New Roman" w:cs="Times New Roman" w:eastAsia="Times New Roman" w:hAnsi="Times New Roman"/>
                <w:sz w:val="24"/>
                <w:szCs w:val="24"/>
              </w:rPr>
              <w:t xml:space="preserve"> - </w:t>
            </w:r>
            <w:r>
              <w:rPr>
                <w:rFonts w:ascii="Times New Roman" w:cs="Times New Roman" w:eastAsia="Times New Roman" w:hAnsi="Times New Roman"/>
                <w:i/>
                <w:iCs/>
                <w:sz w:val="24"/>
                <w:szCs w:val="24"/>
              </w:rPr>
              <w:t xml:space="preserve">Bao gồm ung thư "lan tỏa", "rải rác" hoặc "di căn" không rõ vị trí nguyên phát.</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280"/>
            </w:pPr>
            <w:r>
              <w:rPr>
                <w:rFonts w:ascii="Times New Roman" w:cs="Times New Roman" w:eastAsia="Times New Roman" w:hAnsi="Times New Roman"/>
                <w:sz w:val="24"/>
                <w:szCs w:val="24"/>
              </w:rPr>
              <w:t xml:space="preserve">  Tiểu khối cấp 1</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C81–C96</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sz w:val="24"/>
                <w:szCs w:val="24"/>
              </w:rPr>
              <w:t xml:space="preserve">U ác tính nguyên phát - hệ lympho, tạo máu và mô liên quan</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280"/>
            </w:pPr>
            <w:r>
              <w:rPr>
                <w:rFonts w:ascii="Times New Roman" w:cs="Times New Roman" w:eastAsia="Times New Roman" w:hAnsi="Times New Roman"/>
                <w:sz w:val="24"/>
                <w:szCs w:val="24"/>
              </w:rPr>
              <w:t xml:space="preserve">  Tiểu khối cấp 1</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C97</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sz w:val="24"/>
                <w:szCs w:val="24"/>
              </w:rPr>
              <w:t xml:space="preserve">U ác tính ở nhiều vị trí độc lập (nguyên phát)</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0"/>
            </w:pPr>
            <w:r>
              <w:rPr>
                <w:rFonts w:ascii="Times New Roman" w:cs="Times New Roman" w:eastAsia="Times New Roman" w:hAnsi="Times New Roman"/>
                <w:sz w:val="24"/>
                <w:szCs w:val="24"/>
              </w:rPr>
              <w:t xml:space="preserve">Khối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D00–D09</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b/>
                <w:bCs/>
                <w:sz w:val="24"/>
                <w:szCs w:val="24"/>
              </w:rPr>
              <w:t xml:space="preserve">U TÂN SINH TẠI CHỖ</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0"/>
            </w:pPr>
            <w:r>
              <w:rPr>
                <w:rFonts w:ascii="Times New Roman" w:cs="Times New Roman" w:eastAsia="Times New Roman" w:hAnsi="Times New Roman"/>
                <w:sz w:val="24"/>
                <w:szCs w:val="24"/>
              </w:rPr>
              <w:t xml:space="preserve">Khối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D10–D36</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b/>
                <w:bCs/>
                <w:sz w:val="24"/>
                <w:szCs w:val="24"/>
              </w:rPr>
              <w:t xml:space="preserve">U LÀNH TÍNH</w:t>
            </w:r>
          </w:p>
        </w:tc>
      </w:tr>
      <w:tr>
        <w:tc>
          <w:tcPr>
            <w:tcW w:type="dxa" w:w="1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ind w:left="0"/>
            </w:pPr>
            <w:r>
              <w:rPr>
                <w:rFonts w:ascii="Times New Roman" w:cs="Times New Roman" w:eastAsia="Times New Roman" w:hAnsi="Times New Roman"/>
                <w:sz w:val="24"/>
                <w:szCs w:val="24"/>
              </w:rPr>
              <w:t xml:space="preserve">Khối</w:t>
            </w:r>
          </w:p>
        </w:tc>
        <w:tc>
          <w:tcPr>
            <w:tcW w:type="dxa" w:w="1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Courier New" w:cs="Courier New" w:eastAsia="Courier New" w:hAnsi="Courier New"/>
                <w:b/>
                <w:bCs/>
                <w:color w:val="7030A0"/>
                <w:sz w:val="24"/>
                <w:szCs w:val="24"/>
              </w:rPr>
              <w:t xml:space="preserve">D37–D48</w:t>
            </w:r>
          </w:p>
        </w:tc>
        <w:tc>
          <w:tcPr>
            <w:tcW w:type="dxa" w:w="55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40" w:before="40"/>
            </w:pPr>
            <w:r>
              <w:rPr>
                <w:rFonts w:ascii="Times New Roman" w:cs="Times New Roman" w:eastAsia="Times New Roman" w:hAnsi="Times New Roman"/>
                <w:b/>
                <w:bCs/>
                <w:sz w:val="24"/>
                <w:szCs w:val="24"/>
              </w:rPr>
              <w:t xml:space="preserve">U TÂN SINH KHÔNG TIÊN LƯỢNG ĐƯỢC TIẾN TRIỂN VÀ TÍNH CHẤT</w:t>
            </w:r>
          </w:p>
        </w:tc>
      </w:tr>
    </w:tbl>
    <w:p>
      <w:pPr>
        <w:spacing w:after="120" w:before="0"/>
      </w:pPr>
      <w:r>
        <w:rPr>
          <w:rFonts w:ascii="Times New Roman" w:cs="Times New Roman" w:eastAsia="Times New Roman" w:hAnsi="Times New Roman"/>
          <w:sz w:val="24"/>
          <w:szCs w:val="24"/>
        </w:rPr>
        <w:t xml:space="preserve"/>
      </w:r>
    </w:p>
    <w:p>
      <w:pPr>
        <w:spacing w:after="80" w:before="120"/>
        <w:jc w:val="both"/>
      </w:pPr>
      <w:r>
        <w:rPr>
          <w:rFonts w:ascii="Times New Roman" w:cs="Times New Roman" w:eastAsia="Times New Roman" w:hAnsi="Times New Roman"/>
          <w:b/>
          <w:bCs/>
          <w:sz w:val="24"/>
          <w:szCs w:val="24"/>
        </w:rPr>
        <w:t xml:space="preserve">Ánh xạ mã hành vi (ICD-O-3) sang dải mã ICD-10:</w:t>
      </w:r>
    </w:p>
    <w:tbl>
      <w:tblPr>
        <w:tblW w:type="dxa" w:w="9071"/>
        <w:tblBorders>
          <w:top w:val="single" w:color="auto" w:sz="4"/>
          <w:left w:val="single" w:color="auto" w:sz="4"/>
          <w:bottom w:val="single" w:color="auto" w:sz="4"/>
          <w:right w:val="single" w:color="auto" w:sz="4"/>
          <w:insideH w:val="single" w:color="auto" w:sz="4"/>
          <w:insideV w:val="single" w:color="auto" w:sz="4"/>
        </w:tblBorders>
        <w:tblCellMar>
          <w:top w:type="dxa" w:w="80"/>
          <w:left w:type="dxa" w:w="0"/>
          <w:bottom w:type="dxa" w:w="80"/>
          <w:right w:type="dxa" w:w="0"/>
        </w:tblCellMar>
      </w:tblPr>
      <w:tblGrid>
        <w:gridCol w:w="2200"/>
        <w:gridCol w:w="4000"/>
        <w:gridCol w:w="2871"/>
      </w:tblGrid>
      <w:tr>
        <w:trPr>
          <w:tblHeader/>
        </w:trPr>
        <w:tc>
          <w:tcPr>
            <w:tcW w:type="dxa" w:w="22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Mã hành vi (ICD-O-3)</w:t>
            </w:r>
          </w:p>
        </w:tc>
        <w:tc>
          <w:tcPr>
            <w:tcW w:type="dxa" w:w="40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Tên hành vi</w:t>
            </w:r>
          </w:p>
        </w:tc>
        <w:tc>
          <w:tcPr>
            <w:tcW w:type="dxa" w:w="2871"/>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Dải mã ICD-10</w:t>
            </w:r>
          </w:p>
        </w:tc>
      </w:tr>
      <w:tr>
        <w:tc>
          <w:tcPr>
            <w:tcW w:type="dxa" w:w="22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/0</w:t>
            </w:r>
          </w:p>
        </w:tc>
        <w:tc>
          <w:tcPr>
            <w:tcW w:type="dxa" w:w="4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U lành tính</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D10–D36</w:t>
            </w:r>
          </w:p>
        </w:tc>
      </w:tr>
      <w:tr>
        <w:tc>
          <w:tcPr>
            <w:tcW w:type="dxa" w:w="22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/1</w:t>
            </w:r>
          </w:p>
        </w:tc>
        <w:tc>
          <w:tcPr>
            <w:tcW w:type="dxa" w:w="4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U tân sinh không tiên lượng được tiến triển và tính chất</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D37–D48</w:t>
            </w:r>
          </w:p>
        </w:tc>
      </w:tr>
      <w:tr>
        <w:tc>
          <w:tcPr>
            <w:tcW w:type="dxa" w:w="22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/2</w:t>
            </w:r>
          </w:p>
        </w:tc>
        <w:tc>
          <w:tcPr>
            <w:tcW w:type="dxa" w:w="4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U tân sinh tại chỗ (in situ)</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D00–D09</w:t>
            </w:r>
          </w:p>
        </w:tc>
      </w:tr>
      <w:tr>
        <w:tc>
          <w:tcPr>
            <w:tcW w:type="dxa" w:w="22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/3</w:t>
            </w:r>
          </w:p>
        </w:tc>
        <w:tc>
          <w:tcPr>
            <w:tcW w:type="dxa" w:w="4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U ác tính nguyên phát</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C00–C76; C80–C97</w:t>
            </w:r>
          </w:p>
        </w:tc>
      </w:tr>
      <w:tr>
        <w:tc>
          <w:tcPr>
            <w:tcW w:type="dxa" w:w="22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/6</w:t>
            </w:r>
          </w:p>
        </w:tc>
        <w:tc>
          <w:tcPr>
            <w:tcW w:type="dxa" w:w="4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U ác tính thứ phát (di căn)</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C77–C79</w:t>
            </w:r>
          </w:p>
        </w:tc>
      </w:tr>
      <w:tr>
        <w:tc>
          <w:tcPr>
            <w:tcW w:type="dxa" w:w="22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/9</w:t>
            </w:r>
          </w:p>
        </w:tc>
        <w:tc>
          <w:tcPr>
            <w:tcW w:type="dxa" w:w="40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U ác tính không xác định nguyên phát hay thứ phát</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w:t>
            </w:r>
          </w:p>
        </w:tc>
      </w:tr>
    </w:tbl>
    <w:p>
      <w:pPr>
        <w:spacing w:after="80" w:before="0"/>
      </w:pPr>
      <w:r>
        <w:rPr>
          <w:rFonts w:ascii="Times New Roman" w:cs="Times New Roman" w:eastAsia="Times New Roman" w:hAnsi="Times New Roman"/>
          <w:sz w:val="24"/>
          <w:szCs w:val="24"/>
        </w:rPr>
        <w:t xml:space="preserve"/>
      </w:r>
    </w:p>
    <w:p>
      <w:pPr>
        <w:spacing w:after="40" w:before="80"/>
        <w:jc w:val="both"/>
      </w:pPr>
      <w:r>
        <w:rPr>
          <w:rFonts w:ascii="Times New Roman" w:cs="Times New Roman" w:eastAsia="Times New Roman" w:hAnsi="Times New Roman"/>
          <w:b/>
          <w:bCs/>
          <w:sz w:val="24"/>
          <w:szCs w:val="24"/>
        </w:rPr>
        <w:t xml:space="preserve">Ví dụ:</w:t>
      </w:r>
    </w:p>
    <w:p>
      <w:pPr>
        <w:pStyle w:val="ListParagraph"/>
        <w:numPr>
          <w:ilvl w:val="0"/>
          <w:numId w:val="2"/>
        </w:numPr>
        <w:spacing w:after="40" w:before="40"/>
      </w:pPr>
      <w:r>
        <w:rPr>
          <w:rFonts w:ascii="Courier New" w:cs="Courier New" w:eastAsia="Courier New" w:hAnsi="Courier New"/>
          <w:b/>
          <w:bCs/>
          <w:color w:val="7030A0"/>
          <w:sz w:val="24"/>
          <w:szCs w:val="24"/>
        </w:rPr>
        <w:t xml:space="preserve">C74</w:t>
      </w:r>
      <w:r>
        <w:rPr>
          <w:rFonts w:ascii="Times New Roman" w:cs="Times New Roman" w:eastAsia="Times New Roman" w:hAnsi="Times New Roman"/>
          <w:sz w:val="24"/>
          <w:szCs w:val="24"/>
        </w:rPr>
        <w:t xml:space="preserve"> kèm </w:t>
      </w:r>
      <w:r>
        <w:rPr>
          <w:rFonts w:ascii="Courier New" w:cs="Courier New" w:eastAsia="Courier New" w:hAnsi="Courier New"/>
          <w:b/>
          <w:bCs/>
          <w:color w:val="7030A0"/>
          <w:sz w:val="24"/>
          <w:szCs w:val="24"/>
        </w:rPr>
        <w:t xml:space="preserve">E27.5</w:t>
      </w:r>
      <w:r>
        <w:rPr>
          <w:rFonts w:ascii="Times New Roman" w:cs="Times New Roman" w:eastAsia="Times New Roman" w:hAnsi="Times New Roman"/>
          <w:sz w:val="24"/>
          <w:szCs w:val="24"/>
        </w:rPr>
        <w:t xml:space="preserve"> - U tủy thượng thận ác tính tiết catecholamine.</w:t>
      </w:r>
    </w:p>
    <w:p>
      <w:pPr>
        <w:pStyle w:val="ListParagraph"/>
        <w:numPr>
          <w:ilvl w:val="0"/>
          <w:numId w:val="2"/>
        </w:numPr>
        <w:spacing w:after="40" w:before="40"/>
      </w:pPr>
      <w:r>
        <w:rPr>
          <w:rFonts w:ascii="Courier New" w:cs="Courier New" w:eastAsia="Courier New" w:hAnsi="Courier New"/>
          <w:b/>
          <w:bCs/>
          <w:color w:val="7030A0"/>
          <w:sz w:val="24"/>
          <w:szCs w:val="24"/>
        </w:rPr>
        <w:t xml:space="preserve">D35.2</w:t>
      </w:r>
      <w:r>
        <w:rPr>
          <w:rFonts w:ascii="Times New Roman" w:cs="Times New Roman" w:eastAsia="Times New Roman" w:hAnsi="Times New Roman"/>
          <w:sz w:val="24"/>
          <w:szCs w:val="24"/>
        </w:rPr>
        <w:t xml:space="preserve"> kèm </w:t>
      </w:r>
      <w:r>
        <w:rPr>
          <w:rFonts w:ascii="Courier New" w:cs="Courier New" w:eastAsia="Courier New" w:hAnsi="Courier New"/>
          <w:b/>
          <w:bCs/>
          <w:color w:val="7030A0"/>
          <w:sz w:val="24"/>
          <w:szCs w:val="24"/>
        </w:rPr>
        <w:t xml:space="preserve">E24.0</w:t>
      </w:r>
      <w:r>
        <w:rPr>
          <w:rFonts w:ascii="Times New Roman" w:cs="Times New Roman" w:eastAsia="Times New Roman" w:hAnsi="Times New Roman"/>
          <w:sz w:val="24"/>
          <w:szCs w:val="24"/>
        </w:rPr>
        <w:t xml:space="preserve"> - U lành tuyến yên ưa bazơ kèm hội chứng Cushing.</w:t>
      </w:r>
    </w:p>
    <w:p>
      <w:pPr>
        <w:spacing w:after="180" w:before="0"/>
      </w:pPr>
      <w:r>
        <w:rPr>
          <w:rFonts w:ascii="Times New Roman" w:cs="Times New Roman" w:eastAsia="Times New Roman" w:hAnsi="Times New Roman"/>
          <w:sz w:val="24"/>
          <w:szCs w:val="24"/>
        </w:rPr>
        <w:t xml:space="preserve"/>
      </w:r>
    </w:p>
    <w:p>
      <w:pPr>
        <w:pStyle w:val="Heading1"/>
        <w:spacing w:after="80" w:before="240"/>
      </w:pPr>
      <w:r>
        <w:rPr>
          <w:rFonts w:ascii="Times New Roman" w:cs="Times New Roman" w:eastAsia="Times New Roman" w:hAnsi="Times New Roman"/>
          <w:b/>
          <w:bCs/>
          <w:color w:val="1F4E79"/>
          <w:sz w:val="28"/>
          <w:szCs w:val="28"/>
        </w:rPr>
        <w:t xml:space="preserve">Chương III–XXII - Lưu ý mã hóa tổng hợp</w:t>
      </w:r>
    </w:p>
    <w:p>
      <w:pPr>
        <w:spacing w:after="120" w:before="60"/>
        <w:jc w:val="both"/>
      </w:pPr>
      <w:r>
        <w:rPr>
          <w:rFonts w:ascii="Times New Roman" w:cs="Times New Roman" w:eastAsia="Times New Roman" w:hAnsi="Times New Roman"/>
          <w:sz w:val="24"/>
          <w:szCs w:val="24"/>
        </w:rPr>
        <w:t xml:space="preserve">Bảng dưới tóm tắt lưu ý mã hóa quan trọng nhất cho từng Chương. Chi tiết từng Chương được trình bày đầy đủ trong Phụ lục 1B của Thông tư.</w:t>
      </w:r>
    </w:p>
    <w:tbl>
      <w:tblPr>
        <w:tblW w:type="dxa" w:w="9071"/>
        <w:tblBorders>
          <w:top w:val="single" w:color="auto" w:sz="4"/>
          <w:left w:val="single" w:color="auto" w:sz="4"/>
          <w:bottom w:val="single" w:color="auto" w:sz="4"/>
          <w:right w:val="single" w:color="auto" w:sz="4"/>
          <w:insideH w:val="single" w:color="auto" w:sz="4"/>
          <w:insideV w:val="single" w:color="auto" w:sz="4"/>
        </w:tblBorders>
        <w:tblCellMar>
          <w:top w:type="dxa" w:w="80"/>
          <w:left w:type="dxa" w:w="0"/>
          <w:bottom w:type="dxa" w:w="80"/>
          <w:right w:type="dxa" w:w="0"/>
        </w:tblCellMar>
      </w:tblPr>
      <w:tblGrid>
        <w:gridCol w:w="700"/>
        <w:gridCol w:w="1400"/>
        <w:gridCol w:w="2800"/>
        <w:gridCol w:w="4171"/>
      </w:tblGrid>
      <w:tr>
        <w:trPr>
          <w:tblHeader/>
        </w:trPr>
        <w:tc>
          <w:tcPr>
            <w:tcW w:type="dxa" w:w="7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Chương</w:t>
            </w:r>
          </w:p>
        </w:tc>
        <w:tc>
          <w:tcPr>
            <w:tcW w:type="dxa" w:w="14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Dải mã</w:t>
            </w:r>
          </w:p>
        </w:tc>
        <w:tc>
          <w:tcPr>
            <w:tcW w:type="dxa" w:w="28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Tên Chương</w:t>
            </w:r>
          </w:p>
        </w:tc>
        <w:tc>
          <w:tcPr>
            <w:tcW w:type="dxa" w:w="4171"/>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Lưu ý mã hóa quan trọng</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III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D50–D89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máu, cơ quan tạo máu và một số rối loạn liên quan đến cơ chế miễn dịch</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Lưu ý chữ D dùng chung với Chương II (C00–D48). Bao gồm: thiếu máu, rối loạn đông máu, rối loạn miễn dịch. Không bao gồm: u lympho/bạch cầu (→ Chương II).</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IV</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E00–E99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nội tiết, dinh dưỡng và chuyển hoá</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Bao gồm: đái tháo đường, rối loạn tuyến giáp, béo phì, thiếu vitamin. Biến chứng của đái tháo đường mã hóa bằng ký tự thứ 4 (.0–.9) áp dụng đồng nhất cho E10–E14.</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V</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F00–F99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Rối loạn tâm thần và hành vi</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Bao gồm: sa sút trí tuệ, rối loạn sử dụng chất, tâm thần phân liệt, trầm cảm, lo âu, rối loạn phát triển. Chẩn đoán cần dựa trên tiêu chí lâm sàng và phân loại chuyên khoa (ICD-10-DCR).</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VI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G00–G99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thần kinh</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Bao gồm: viêm màng não, bại liệt, động kinh, Parkinson, xơ cứng rải rác, đau đầu cấu trúc. Loại trừ: rối loạn tâm thần (→ Chương V), bệnh mạch máu não (→ Chương IX).</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VII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H00–H59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của mắt và cấu trúc phụ cận</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Chữ H dùng chung với Chương VIII. Bao gồm: viêm kết mạc, đục thủy tinh thể, glaucoma, bệnh võng mạc đái tháo đường (†* với E10–E14).</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VIII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H60–H95</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của tai và xương chũm</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Bao gồm: viêm tai ngoài, viêm tai giữa, điếc, rối loạn tiền đình. Loại trừ: biến chứng liên quan phẫu thuật (→ T81.-).</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IX</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I00–I99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tuần hoàn</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Bao gồm: bệnh tim thiếu máu cục bộ (I20–I25), tai biến mạch máu não (I60–I69), tăng huyết áp (I10–I15). Mã 5 ký tự: xơ vữa động mạch (I70.–) có thêm ký tự chỉ kèm hoại thư hay không.</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J00–J99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hô hấp</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Bao gồm: viêm phổi, COPD, hen phế quản, viêm phế quản. Mã 5 ký tự: suy hô hấp (J96.–) phân biệt giảm oxy máu (type I) và tăng CO2 máu (type II).</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K00–K93</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tiêu hoá</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Bao gồm: bệnh dạ dày-thực quản, loét, bệnh ruột viêm, bệnh gan, bệnh đường mật, tụy. Nhóm .8 = "khác xác định"; nhóm .9 = "không xác định".</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XII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L00–L99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của da và mô dưới da</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Bao gồm: nhiễm trùng da, viêm da, vảy nến, urticaria, loét da. Loét áp lực (L89) được mã hóa theo giai đoạn.</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XIII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M00–M99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cơ xương khớp và mô liên kết</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Bao gồm: viêm khớp dạng thấp, bệnh thoái hóa khớp, loãng xương, bệnh cột sống. Mã 5 ký tự: phân chia vị trí giải phẫu (đòn tay phải, gối trái...). Một số mã dùng hệ thống dagger-asterisk với Chương VII, IX, X.</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XIV</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N00–N99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Bệnh hệ sinh dục, tiết niệu</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Bao gồm: bệnh thận, nhiễm trùng đường tiểu, bệnh tuyến tiền liệt, bệnh phụ khoa. Suy thận mạn giai đoạn 5 = N18.5.</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XV</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O00–O99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Thai kỳ, sinh đẻ và thời kỳ sau đẻ</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Áp dụng cho người mẹ. Mọi bệnh lý xảy ra trong thai kỳ nếu ảnh hưởng đến thai kỳ mã hóa ở đây thay vì chương bệnh gốc. Mã đẻ (O80–O84) chỉ dùng khi không có biến chứng được ghi nhận.</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XVI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P00–P96</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Một số bệnh lý xuất phát trong thời kỳ chu sinh</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Áp dụng cho trẻ sơ sinh và chu sinh. Ưu tiên mã Chương XVI khi bệnh xuất phát trong chu sinh, kể cả bệnh tiếp tục kéo dài sau giai đoạn đó.</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XVII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Q00–Q99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Dị tật, biến dạng và bất thường về nhiễm sắc thể bẩm sinh</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Áp dụng mọi lứa tuổi nếu dị tật là bẩm sinh. Không giới hạn cho trẻ sơ sinh.</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XVIII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R00–R99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Triệu chứng, dấu hiệu và bất thường lâm sàng/cận lâm sàng, không phân loại mục khác</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Chỉ dùng khi chưa xác định được chẩn đoán nguyên nhân. Nếu triệu chứng là biểu hiện thường gặp của một bệnh, mã bệnh đó mới là bệnh chính.</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XIX</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S00–T98</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Tổn thương, ngộ độc và một số hậu quả khác do nguyên nhân bên ngoài</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Ký tự đầu S (vùng giải phẫu cụ thể) hoặc T (đa vùng, ngộ độc, phỏng...). Mã 5 ký tự: gãy xương (.x0 = kín, .x1 = hở); tổn thương nội sọ (.x0 = không vết thương hở, .x1 = có).</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XX</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V01–Y98</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Các nguyên nhân từ bên ngoài của bệnh tật và tử vong</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Mã bổ sung - không dùng làm mã bệnh chính độc lập. Dùng kết hợp với Chương XIX để làm rõ cơ chế/hoàn cảnh chấn thương.</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XXI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Z00–Z99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Các yếu tố liên quan đến tình trạng sức khỏe và tiếp cận dịch vụ y tế</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Dùng khi người bệnh không mang bệnh nhưng có lý do tiếp xúc y tế (tái khám, tiêm ngừa, sàng lọc, chăm sóc mạn tính). Nhiều mã Z không được dùng làm mã bệnh chính.</w:t>
            </w:r>
          </w:p>
        </w:tc>
      </w:tr>
      <w:tr>
        <w:tc>
          <w:tcPr>
            <w:tcW w:type="dxa" w:w="7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b/>
                <w:bCs/>
                <w:sz w:val="24"/>
                <w:szCs w:val="24"/>
              </w:rPr>
              <w:t xml:space="preserve">Ch. XXII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Courier New" w:cs="Courier New" w:eastAsia="Courier New" w:hAnsi="Courier New"/>
                <w:b/>
                <w:bCs/>
                <w:color w:val="7030A0"/>
                <w:sz w:val="24"/>
                <w:szCs w:val="24"/>
              </w:rPr>
              <w:t xml:space="preserve">U00–U99</w:t>
            </w:r>
          </w:p>
        </w:tc>
        <w:tc>
          <w:tcPr>
            <w:tcW w:type="dxa" w:w="2800"/>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Mã phục vụ những mục đích đặc biệt</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center"/>
          </w:tcPr>
          <w:p>
            <w:pPr>
              <w:spacing w:after="60" w:before="60"/>
            </w:pPr>
            <w:r>
              <w:rPr>
                <w:rFonts w:ascii="Times New Roman" w:cs="Times New Roman" w:eastAsia="Times New Roman" w:hAnsi="Times New Roman"/>
                <w:sz w:val="24"/>
                <w:szCs w:val="24"/>
              </w:rPr>
              <w:t xml:space="preserve">U00–U49: mã tạm thời cho bệnh mới (ví dụ: U07.1 = COVID-19). U50–U67: mã bệnh y học cổ truyền Việt Nam. Việt Nam không nên tạo mã U mới trừ khi được Bộ Y tế phê duyệt.</w:t>
            </w:r>
          </w:p>
        </w:tc>
      </w:tr>
    </w:tbl>
    <w:p>
      <w:pPr>
        <w:spacing w:after="180" w:before="0"/>
      </w:pPr>
      <w:r>
        <w:rPr>
          <w:rFonts w:ascii="Times New Roman" w:cs="Times New Roman" w:eastAsia="Times New Roman" w:hAnsi="Times New Roman"/>
          <w:sz w:val="24"/>
          <w:szCs w:val="24"/>
        </w:rPr>
        <w:t xml:space="preserve"/>
      </w:r>
    </w:p>
    <w:p>
      <w:pPr>
        <w:pStyle w:val="Heading1"/>
        <w:spacing w:after="80" w:before="240"/>
      </w:pPr>
      <w:r>
        <w:rPr>
          <w:rFonts w:ascii="Times New Roman" w:cs="Times New Roman" w:eastAsia="Times New Roman" w:hAnsi="Times New Roman"/>
          <w:b/>
          <w:bCs/>
          <w:color w:val="1F4E79"/>
          <w:sz w:val="28"/>
          <w:szCs w:val="28"/>
        </w:rPr>
        <w:t xml:space="preserve">Những điểm cần nhớ khi tra cứu Chương và Khối</w:t>
      </w:r>
    </w:p>
    <w:p>
      <w:pPr>
        <w:spacing w:after="20" w:before="60"/>
        <w:jc w:val="both"/>
      </w:pPr>
      <w:r>
        <w:rPr>
          <w:rFonts w:ascii="Times New Roman" w:cs="Times New Roman" w:eastAsia="Times New Roman" w:hAnsi="Times New Roman"/>
          <w:b/>
          <w:bCs/>
          <w:sz w:val="24"/>
          <w:szCs w:val="24"/>
        </w:rPr>
        <w:t xml:space="preserve">1. Mã không liên tục là có chủ ý.</w:t>
      </w:r>
    </w:p>
    <w:p>
      <w:pPr>
        <w:spacing w:after="80" w:before="60"/>
        <w:jc w:val="both"/>
      </w:pPr>
      <w:r>
        <w:rPr>
          <w:rFonts w:ascii="Times New Roman" w:cs="Times New Roman" w:eastAsia="Times New Roman" w:hAnsi="Times New Roman"/>
          <w:sz w:val="24"/>
          <w:szCs w:val="24"/>
        </w:rPr>
        <w:t xml:space="preserve">ICD-10 cố tình để gián đoạn giữa các mã (ví dụ: D53 rồi D55, không có D54) để dành chỗ bổ sung mã mới trong tương lai. Khoảng trống không phải lỗi in ấn.</w:t>
      </w:r>
    </w:p>
    <w:p>
      <w:pPr>
        <w:spacing w:after="20" w:before="60"/>
        <w:jc w:val="both"/>
      </w:pPr>
      <w:r>
        <w:rPr>
          <w:rFonts w:ascii="Times New Roman" w:cs="Times New Roman" w:eastAsia="Times New Roman" w:hAnsi="Times New Roman"/>
          <w:b/>
          <w:bCs/>
          <w:sz w:val="24"/>
          <w:szCs w:val="24"/>
        </w:rPr>
        <w:t xml:space="preserve">2. Chương nào ưu tiên khi một bệnh có thể xếp nhiều Chương?</w:t>
      </w:r>
    </w:p>
    <w:p>
      <w:pPr>
        <w:pStyle w:val="ListParagraph"/>
        <w:numPr>
          <w:ilvl w:val="0"/>
          <w:numId w:val="2"/>
        </w:numPr>
        <w:spacing w:after="40" w:before="40"/>
      </w:pPr>
      <w:r>
        <w:rPr>
          <w:rFonts w:ascii="Times New Roman" w:cs="Times New Roman" w:eastAsia="Times New Roman" w:hAnsi="Times New Roman"/>
          <w:sz w:val="24"/>
          <w:szCs w:val="24"/>
        </w:rPr>
        <w:t xml:space="preserve">Thai kỳ → Chương XV (ưu tiên tuyệt đối nếu bệnh ảnh hưởng đến thai kỳ).</w:t>
      </w:r>
    </w:p>
    <w:p>
      <w:pPr>
        <w:pStyle w:val="ListParagraph"/>
        <w:numPr>
          <w:ilvl w:val="0"/>
          <w:numId w:val="2"/>
        </w:numPr>
        <w:spacing w:after="40" w:before="40"/>
      </w:pPr>
      <w:r>
        <w:rPr>
          <w:rFonts w:ascii="Times New Roman" w:cs="Times New Roman" w:eastAsia="Times New Roman" w:hAnsi="Times New Roman"/>
          <w:sz w:val="24"/>
          <w:szCs w:val="24"/>
        </w:rPr>
        <w:t xml:space="preserve">Chu sinh → Chương XVI (ưu tiên nếu bệnh xuất phát trong giai đoạn chu sinh).</w:t>
      </w:r>
    </w:p>
    <w:p>
      <w:pPr>
        <w:pStyle w:val="ListParagraph"/>
        <w:numPr>
          <w:ilvl w:val="0"/>
          <w:numId w:val="2"/>
        </w:numPr>
        <w:spacing w:after="40" w:before="40"/>
      </w:pPr>
      <w:r>
        <w:rPr>
          <w:rFonts w:ascii="Times New Roman" w:cs="Times New Roman" w:eastAsia="Times New Roman" w:hAnsi="Times New Roman"/>
          <w:sz w:val="24"/>
          <w:szCs w:val="24"/>
        </w:rPr>
        <w:t xml:space="preserve">Dị tật bẩm sinh → Chương XVII (áp dụng mọi lứa tuổi, không chỉ sơ sinh).</w:t>
      </w:r>
    </w:p>
    <w:p>
      <w:pPr>
        <w:pStyle w:val="ListParagraph"/>
        <w:numPr>
          <w:ilvl w:val="0"/>
          <w:numId w:val="2"/>
        </w:numPr>
        <w:spacing w:after="40" w:before="40"/>
      </w:pPr>
      <w:r>
        <w:rPr>
          <w:rFonts w:ascii="Times New Roman" w:cs="Times New Roman" w:eastAsia="Times New Roman" w:hAnsi="Times New Roman"/>
          <w:sz w:val="24"/>
          <w:szCs w:val="24"/>
        </w:rPr>
        <w:t xml:space="preserve">Triệu chứng chưa rõ nguyên nhân → Chương XVIII (chỉ dùng khi không xác định được chẩn đoán nguyên nhân).</w:t>
      </w:r>
    </w:p>
    <w:p>
      <w:pPr>
        <w:spacing w:after="60" w:before="0"/>
      </w:pPr>
      <w:r>
        <w:rPr>
          <w:rFonts w:ascii="Times New Roman" w:cs="Times New Roman" w:eastAsia="Times New Roman" w:hAnsi="Times New Roman"/>
          <w:sz w:val="24"/>
          <w:szCs w:val="24"/>
        </w:rPr>
        <w:t xml:space="preserve"/>
      </w:r>
    </w:p>
    <w:p>
      <w:pPr>
        <w:spacing w:after="20" w:before="60"/>
        <w:jc w:val="both"/>
      </w:pPr>
      <w:r>
        <w:rPr>
          <w:rFonts w:ascii="Times New Roman" w:cs="Times New Roman" w:eastAsia="Times New Roman" w:hAnsi="Times New Roman"/>
          <w:b/>
          <w:bCs/>
          <w:sz w:val="24"/>
          <w:szCs w:val="24"/>
        </w:rPr>
        <w:t xml:space="preserve">3. Các Chương chỉ dùng làm mã bổ sung.</w:t>
      </w:r>
    </w:p>
    <w:p>
      <w:pPr>
        <w:spacing w:after="20" w:before="60"/>
        <w:jc w:val="both"/>
      </w:pPr>
      <w:r>
        <w:rPr>
          <w:rFonts w:ascii="Courier New" w:cs="Courier New" w:eastAsia="Courier New" w:hAnsi="Courier New"/>
          <w:b/>
          <w:bCs/>
          <w:color w:val="7030A0"/>
          <w:sz w:val="24"/>
          <w:szCs w:val="24"/>
        </w:rPr>
        <w:t xml:space="preserve">Chương XX</w:t>
      </w:r>
      <w:r>
        <w:rPr>
          <w:rFonts w:ascii="Times New Roman" w:cs="Times New Roman" w:eastAsia="Times New Roman" w:hAnsi="Times New Roman"/>
          <w:sz w:val="24"/>
          <w:szCs w:val="24"/>
        </w:rPr>
        <w:t xml:space="preserve"> (V01–Y98): </w:t>
      </w:r>
      <w:r>
        <w:rPr>
          <w:rFonts w:ascii="Times New Roman" w:cs="Times New Roman" w:eastAsia="Times New Roman" w:hAnsi="Times New Roman"/>
          <w:sz w:val="24"/>
          <w:szCs w:val="24"/>
        </w:rPr>
        <w:t xml:space="preserve">nguyên nhân bên ngoài - mã bổ sung kèm Chương XIX, không dùng độc lập làm mã bệnh chính.</w:t>
      </w:r>
    </w:p>
    <w:p>
      <w:pPr>
        <w:spacing w:after="80" w:before="60"/>
        <w:jc w:val="both"/>
      </w:pPr>
      <w:r>
        <w:rPr>
          <w:rFonts w:ascii="Courier New" w:cs="Courier New" w:eastAsia="Courier New" w:hAnsi="Courier New"/>
          <w:b/>
          <w:bCs/>
          <w:color w:val="7030A0"/>
          <w:sz w:val="24"/>
          <w:szCs w:val="24"/>
        </w:rPr>
        <w:t xml:space="preserve">B95–B98</w:t>
      </w:r>
      <w:r>
        <w:rPr>
          <w:rFonts w:ascii="Times New Roman" w:cs="Times New Roman" w:eastAsia="Times New Roman" w:hAnsi="Times New Roman"/>
          <w:sz w:val="24"/>
          <w:szCs w:val="24"/>
        </w:rPr>
        <w:t xml:space="preserve">: </w:t>
      </w:r>
      <w:r>
        <w:rPr>
          <w:rFonts w:ascii="Times New Roman" w:cs="Times New Roman" w:eastAsia="Times New Roman" w:hAnsi="Times New Roman"/>
          <w:sz w:val="24"/>
          <w:szCs w:val="24"/>
        </w:rPr>
        <w:t xml:space="preserve">tác nhân gây nhiễm trùng - chỉ dùng làm mã bệnh kèm theo, không làm mã bệnh chính.</w:t>
      </w:r>
    </w:p>
    <w:p>
      <w:pPr>
        <w:spacing w:after="20" w:before="60"/>
        <w:jc w:val="both"/>
      </w:pPr>
      <w:r>
        <w:rPr>
          <w:rFonts w:ascii="Times New Roman" w:cs="Times New Roman" w:eastAsia="Times New Roman" w:hAnsi="Times New Roman"/>
          <w:b/>
          <w:bCs/>
          <w:sz w:val="24"/>
          <w:szCs w:val="24"/>
        </w:rPr>
        <w:t xml:space="preserve">4. Mã 5 ký tự bắt buộc ở 5 Chương.</w:t>
      </w:r>
    </w:p>
    <w:p>
      <w:pPr>
        <w:pBdr>
          <w:left w:val="single" w:color="2E75B6" w:sz="8" w:space="8"/>
        </w:pBdr>
        <w:spacing w:after="80" w:before="80"/>
        <w:ind w:left="360"/>
      </w:pPr>
      <w:r>
        <w:rPr>
          <w:rFonts w:ascii="Times New Roman" w:cs="Times New Roman" w:eastAsia="Times New Roman" w:hAnsi="Times New Roman"/>
          <w:i w:val="false"/>
          <w:iCs w:val="false"/>
          <w:color w:val="1F497D"/>
          <w:sz w:val="24"/>
          <w:szCs w:val="24"/>
        </w:rPr>
        <w:t xml:space="preserve">Chương I (viêm gan B giai đoạn), Chương IX (xơ vữa động mạch có hoại thư), Chương X (suy hô hấp type), Chương XIII (vị trí giải phẫu cơ xương khớp), Chương XIX (gãy xương hở/kín; tổn thương nội sọ hở/kín) - phải dùng đủ 5 ký tự.</w:t>
      </w:r>
    </w:p>
    <w:p>
      <w:pPr>
        <w:spacing w:after="180" w:before="0"/>
      </w:pPr>
      <w:r>
        <w:rPr>
          <w:rFonts w:ascii="Times New Roman" w:cs="Times New Roman" w:eastAsia="Times New Roman" w:hAnsi="Times New Roman"/>
          <w:sz w:val="24"/>
          <w:szCs w:val="24"/>
        </w:rPr>
        <w:t xml:space="preserve"/>
      </w:r>
    </w:p>
    <w:sectPr>
      <w:headerReference w:type="default" r:id="rId7"/>
      <w:footerReference w:type="default" r:id="rId8"/>
      <w:pgSz w:w="11906" w:h="16838" w:orient="portrait"/>
      <w:pgMar w:top="1134" w:right="1134" w:bottom="1134" w:left="1701"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75B6" w:sz="4" w:space="4"/>
      </w:pBdr>
      <w:tabs>
        <w:tab w:val="right" w:pos="9071"/>
      </w:tabs>
      <w:spacing w:before="60"/>
    </w:pPr>
    <w:r>
      <w:rPr>
        <w:rFonts w:ascii="Times New Roman" w:cs="Times New Roman" w:eastAsia="Times New Roman" w:hAnsi="Times New Roman"/>
        <w:color w:val="595959"/>
        <w:sz w:val="18"/>
        <w:szCs w:val="18"/>
      </w:rPr>
      <w:t xml:space="preserve">Bộ Y tế - Cục Quản lý Khám, chữa bệnh</w:t>
    </w:r>
    <w:r>
      <w:rPr>
        <w:rFonts w:ascii="Times New Roman" w:cs="Times New Roman" w:eastAsia="Times New Roman" w:hAnsi="Times New Roman"/>
        <w:color w:val="595959"/>
        <w:sz w:val="18"/>
        <w:szCs w:val="18"/>
      </w:rPr>
      <w:t xml:space="preserve">	Trang </w:t>
    </w:r>
    <w:r>
      <w:rPr>
        <w:rFonts w:ascii="Times New Roman" w:cs="Times New Roman" w:eastAsia="Times New Roman" w:hAnsi="Times New Roman"/>
        <w:color w:val="59595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4"/>
      </w:pBdr>
      <w:spacing w:after="60"/>
    </w:pPr>
    <w:r>
      <w:rPr>
        <w:rFonts w:ascii="Times New Roman" w:cs="Times New Roman" w:eastAsia="Times New Roman" w:hAnsi="Times New Roman"/>
        <w:color w:val="595959"/>
        <w:sz w:val="18"/>
        <w:szCs w:val="18"/>
      </w:rPr>
      <w:t xml:space="preserve">Phụ lục 1A - Giới thiệu Chương và Khối ICD-10   |   Thông tư số 06/2026/TT-BYT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0" w:hanging="280"/>
      </w:pPr>
    </w:lvl>
    <w:lvl w:ilvl="1" w15:tentative="1">
      <w:start w:val="1"/>
      <w:numFmt w:val="bullet"/>
      <w:lvlText w:val="◦"/>
      <w:lvlJc w:val="left"/>
      <w:pPr>
        <w:ind w:left="90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00"/>
      <w:outlineLvl w:val="0"/>
    </w:pPr>
    <w:rPr>
      <w:rFonts w:ascii="Times New Roman" w:cs="Times New Roman" w:eastAsia="Times New Roman" w:hAnsi="Times New Roman"/>
      <w:b/>
      <w:bCs/>
      <w:color w:val="1F4E79"/>
      <w:sz w:val="28"/>
      <w:szCs w:val="28"/>
    </w:rPr>
  </w:style>
  <w:style w:type="paragraph" w:styleId="Heading2">
    <w:name w:val="Heading 2"/>
    <w:basedOn w:val="Normal"/>
    <w:next w:val="Normal"/>
    <w:qFormat/>
    <w:pPr>
      <w:spacing w:after="80" w:before="240"/>
      <w:outlineLvl w:val="1"/>
    </w:pPr>
    <w:rPr>
      <w:rFonts w:ascii="Times New Roman" w:cs="Times New Roman" w:eastAsia="Times New Roman" w:hAnsi="Times New Roman"/>
      <w:b/>
      <w:bCs/>
      <w:color w:val="1F4E79"/>
      <w:sz w:val="26"/>
      <w:szCs w:val="26"/>
    </w:rPr>
  </w:style>
  <w:style w:type="paragraph" w:styleId="Heading3">
    <w:name w:val="Heading 3"/>
    <w:basedOn w:val="Normal"/>
    <w:next w:val="Normal"/>
    <w:qFormat/>
    <w:pPr>
      <w:spacing w:after="60" w:before="180"/>
      <w:outlineLvl w:val="2"/>
    </w:pPr>
    <w:rPr>
      <w:rFonts w:ascii="Times New Roman" w:cs="Times New Roman" w:eastAsia="Times New Roman" w:hAnsi="Times New Roman"/>
      <w:b/>
      <w:bCs/>
      <w:color w:val="2E5F99"/>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2026-05-15T20:20:42.681Z</dcterms:created>
  <dcterms:modified xsi:type="dcterms:W3CDTF">2026-05-15T20:20:42.682Z</dcterms:modified>
</cp:coreProperties>
</file>

<file path=docProps/custom.xml><?xml version="1.0" encoding="utf-8"?>
<Properties xmlns="http://schemas.openxmlformats.org/officeDocument/2006/custom-properties" xmlns:vt="http://schemas.openxmlformats.org/officeDocument/2006/docPropsVTypes"/>
</file>